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AE2" w14:textId="3922D4E9" w:rsidR="007A01C3" w:rsidRDefault="007A01C3" w:rsidP="007A01C3">
      <w:pPr>
        <w:jc w:val="right"/>
      </w:pPr>
    </w:p>
    <w:p w14:paraId="4068DF7E" w14:textId="3135D39D" w:rsidR="007037D0" w:rsidRP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4DEC6" wp14:editId="465586F9">
                <wp:simplePos x="0" y="0"/>
                <wp:positionH relativeFrom="column">
                  <wp:posOffset>2742565</wp:posOffset>
                </wp:positionH>
                <wp:positionV relativeFrom="paragraph">
                  <wp:posOffset>-635</wp:posOffset>
                </wp:positionV>
                <wp:extent cx="0" cy="13716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8AE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-.05pt" to="215.9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0AEAD68" wp14:editId="64DDCE6B">
            <wp:simplePos x="0" y="0"/>
            <wp:positionH relativeFrom="column">
              <wp:posOffset>-318</wp:posOffset>
            </wp:positionH>
            <wp:positionV relativeFrom="paragraph">
              <wp:posOffset>56832</wp:posOffset>
            </wp:positionV>
            <wp:extent cx="1995805" cy="4572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ED4E" w14:textId="0546CF24" w:rsid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5070" wp14:editId="204A118C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3771900" cy="6807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127CD" w14:textId="77777777" w:rsidR="00ED6A6A" w:rsidRDefault="007037D0" w:rsidP="002400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1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Student </w:t>
                            </w:r>
                          </w:p>
                          <w:p w14:paraId="4009428D" w14:textId="559D2933" w:rsidR="007037D0" w:rsidRPr="004F1B0F" w:rsidRDefault="00BE7A91" w:rsidP="00703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On-campus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4.5pt;width:297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" fillcolor="white [3201]" stroked="f" strokeweight=".5pt">
                <v:textbox>
                  <w:txbxContent>
                    <w:p w14:paraId="592127CD" w14:textId="77777777" w:rsidR="00ED6A6A" w:rsidRDefault="007037D0" w:rsidP="002400C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1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Student </w:t>
                      </w:r>
                    </w:p>
                    <w:p w14:paraId="4009428D" w14:textId="559D2933" w:rsidR="007037D0" w:rsidRPr="004F1B0F" w:rsidRDefault="00BE7A91" w:rsidP="00703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On-campus 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14834B" wp14:editId="2A44BBC1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2653030" cy="74168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78A7" w14:textId="3DEDE116" w:rsidR="002400CE" w:rsidRPr="002400CE" w:rsidRDefault="002400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00CE">
                              <w:rPr>
                                <w:sz w:val="20"/>
                                <w:szCs w:val="20"/>
                              </w:rPr>
                              <w:t>International Programs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  <w:t>7390 South 6</w:t>
                            </w:r>
                            <w:r w:rsidRPr="002400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 xml:space="preserve"> Street |Klamath Falls, OR 97601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F1B73">
                              <w:rPr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>971-380-5185 | Fax: 541-885-7758</w:t>
                            </w:r>
                            <w:r w:rsidRPr="002400C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KK-Int-Admissions@Klamathcc.edu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|</w:t>
                            </w:r>
                            <w:hyperlink r:id="rId9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https://www.klamathcc.edu/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834B" id="Text Box 2" o:spid="_x0000_s1027" type="#_x0000_t202" style="position:absolute;margin-left:-1.95pt;margin-top:22.3pt;width:208.9pt;height:5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WGIgIAACM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" stroked="f">
                <v:textbox>
                  <w:txbxContent>
                    <w:p w14:paraId="511878A7" w14:textId="3DEDE116" w:rsidR="002400CE" w:rsidRPr="002400CE" w:rsidRDefault="002400CE">
                      <w:pPr>
                        <w:rPr>
                          <w:sz w:val="18"/>
                          <w:szCs w:val="18"/>
                        </w:rPr>
                      </w:pPr>
                      <w:r w:rsidRPr="002400CE">
                        <w:rPr>
                          <w:sz w:val="20"/>
                          <w:szCs w:val="20"/>
                        </w:rPr>
                        <w:t>International Programs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  <w:t>7390 South 6</w:t>
                      </w:r>
                      <w:r w:rsidRPr="002400C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400CE">
                        <w:rPr>
                          <w:sz w:val="20"/>
                          <w:szCs w:val="20"/>
                        </w:rPr>
                        <w:t xml:space="preserve"> Street |Klamath Falls, OR 97601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</w:r>
                      <w:r w:rsidR="007F1B73">
                        <w:rPr>
                          <w:sz w:val="20"/>
                          <w:szCs w:val="20"/>
                        </w:rPr>
                        <w:t xml:space="preserve">Phone: </w:t>
                      </w:r>
                      <w:r w:rsidRPr="002400CE">
                        <w:rPr>
                          <w:sz w:val="20"/>
                          <w:szCs w:val="20"/>
                        </w:rPr>
                        <w:t>971-380-5185 | Fax: 541-885-7758</w:t>
                      </w:r>
                      <w:r w:rsidRPr="002400CE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KK-Int-Admissions@Klamathcc.edu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|</w:t>
                      </w:r>
                      <w:hyperlink r:id="rId11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https://www.klamathcc.edu/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9EE7" w14:textId="543D83DB" w:rsidR="007037D0" w:rsidRDefault="007037D0" w:rsidP="007037D0"/>
    <w:p w14:paraId="23A2EE65" w14:textId="0D69DC51" w:rsidR="007037D0" w:rsidRDefault="007037D0" w:rsidP="007037D0">
      <w:pPr>
        <w:jc w:val="right"/>
      </w:pPr>
    </w:p>
    <w:p w14:paraId="068F66C2" w14:textId="2130EE5B" w:rsidR="002400CE" w:rsidRPr="003B659F" w:rsidRDefault="00ED6A6A" w:rsidP="007037D0">
      <w:pPr>
        <w:tabs>
          <w:tab w:val="left" w:pos="2588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776EA" wp14:editId="73F9E6B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858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7C42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1B3E98A" w14:textId="278C89EE" w:rsidR="00BE7A91" w:rsidRPr="00E83981" w:rsidRDefault="001D08C4" w:rsidP="00BE7A91">
      <w:pPr>
        <w:pStyle w:val="NormalWeb"/>
      </w:pPr>
      <w:r>
        <w:rPr>
          <w:rFonts w:cstheme="minorHAnsi"/>
          <w:sz w:val="18"/>
          <w:szCs w:val="18"/>
        </w:rPr>
        <w:br/>
      </w:r>
      <w:r w:rsidR="00353DBA">
        <w:t>F-1 students are generally permitted to work part-time</w:t>
      </w:r>
      <w:r w:rsidR="00331F0A">
        <w:t xml:space="preserve"> </w:t>
      </w:r>
      <w:r w:rsidR="00353DBA">
        <w:t xml:space="preserve">while they are attending </w:t>
      </w:r>
      <w:r w:rsidR="00331F0A">
        <w:t>Klamath Community College</w:t>
      </w:r>
      <w:r w:rsidR="00353DBA">
        <w:t xml:space="preserve">. This type of employment is </w:t>
      </w:r>
      <w:r w:rsidR="00331F0A">
        <w:t xml:space="preserve">governed by the following policies and guidelines. It </w:t>
      </w:r>
      <w:r w:rsidR="00353DBA">
        <w:t>does not require authorization</w:t>
      </w:r>
      <w:r w:rsidR="00331F0A">
        <w:t xml:space="preserve"> from the International Programs Office if the student has a Social Security Number</w:t>
      </w:r>
      <w:r w:rsidR="00353DBA"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7946"/>
      </w:tblGrid>
      <w:tr w:rsidR="00A159AB" w14:paraId="51C0C2DA" w14:textId="77777777" w:rsidTr="00BE7A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133DD4" w14:textId="77777777" w:rsidR="00BE7A91" w:rsidRDefault="00BE7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Characteristic</w:t>
            </w:r>
          </w:p>
        </w:tc>
        <w:tc>
          <w:tcPr>
            <w:tcW w:w="0" w:type="auto"/>
            <w:vAlign w:val="center"/>
            <w:hideMark/>
          </w:tcPr>
          <w:p w14:paraId="4337E108" w14:textId="77777777" w:rsidR="00BE7A91" w:rsidRDefault="00BE7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A159AB" w14:paraId="198E91C1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001F4" w14:textId="77777777" w:rsidR="00BE7A91" w:rsidRDefault="00BE7A91">
            <w:r>
              <w:rPr>
                <w:rStyle w:val="Strong"/>
              </w:rPr>
              <w:t>Preconditions</w:t>
            </w:r>
          </w:p>
        </w:tc>
        <w:tc>
          <w:tcPr>
            <w:tcW w:w="0" w:type="auto"/>
            <w:vAlign w:val="center"/>
            <w:hideMark/>
          </w:tcPr>
          <w:p w14:paraId="7A57E8E5" w14:textId="23B42434" w:rsidR="00BE7A91" w:rsidRDefault="00A159AB" w:rsidP="00A159AB">
            <w:r>
              <w:t>New</w:t>
            </w:r>
            <w:r w:rsidR="00BE7A91">
              <w:t xml:space="preserve"> student</w:t>
            </w:r>
            <w:r>
              <w:t>s</w:t>
            </w:r>
            <w:r w:rsidR="00BE7A91">
              <w:t xml:space="preserve"> may </w:t>
            </w:r>
            <w:r>
              <w:t>work after 30 days after the</w:t>
            </w:r>
            <w:r w:rsidR="00BE7A91">
              <w:t xml:space="preserve"> start of classe</w:t>
            </w:r>
            <w:r>
              <w:t>s</w:t>
            </w:r>
            <w:r>
              <w:br/>
              <w:t>Continuing students may continue to work</w:t>
            </w:r>
            <w:r>
              <w:br/>
              <w:t xml:space="preserve">Transfer students </w:t>
            </w:r>
            <w:r w:rsidR="00BE7A91">
              <w:t xml:space="preserve">may </w:t>
            </w:r>
            <w:r>
              <w:t>work after their immigration file has been transferred.</w:t>
            </w:r>
          </w:p>
        </w:tc>
      </w:tr>
      <w:tr w:rsidR="00A159AB" w14:paraId="05EA97C9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A56A2" w14:textId="77777777" w:rsidR="00BE7A91" w:rsidRDefault="00BE7A91">
            <w:r>
              <w:rPr>
                <w:rStyle w:val="Strong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95A3D33" w14:textId="225A4C39" w:rsidR="00BE7A91" w:rsidRDefault="00A159AB">
            <w:r>
              <w:t>The job m</w:t>
            </w:r>
            <w:r w:rsidR="00BE7A91">
              <w:t>ust be considered "on-campus"</w:t>
            </w:r>
          </w:p>
        </w:tc>
      </w:tr>
      <w:tr w:rsidR="00A159AB" w14:paraId="72FCC642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DADB9" w14:textId="77777777" w:rsidR="00BE7A91" w:rsidRDefault="00BE7A91">
            <w:r>
              <w:rPr>
                <w:rStyle w:val="Strong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548E526B" w14:textId="7D2AFD3F" w:rsidR="00BE7A91" w:rsidRDefault="00BE7A91">
            <w:r>
              <w:t xml:space="preserve">Can be used throughout period student is pursuing a full course of study. </w:t>
            </w:r>
            <w:r w:rsidR="00A159AB">
              <w:br/>
            </w:r>
            <w:r>
              <w:t>Cannot be used after a student completes the course of study.</w:t>
            </w:r>
          </w:p>
        </w:tc>
      </w:tr>
      <w:tr w:rsidR="00A159AB" w14:paraId="42B6802B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EC7B0" w14:textId="77777777" w:rsidR="00BE7A91" w:rsidRDefault="00BE7A91">
            <w:r>
              <w:rPr>
                <w:rStyle w:val="Strong"/>
              </w:rPr>
              <w:t>Hours per week</w:t>
            </w:r>
          </w:p>
        </w:tc>
        <w:tc>
          <w:tcPr>
            <w:tcW w:w="0" w:type="auto"/>
            <w:vAlign w:val="center"/>
            <w:hideMark/>
          </w:tcPr>
          <w:p w14:paraId="774F928F" w14:textId="4105D107" w:rsidR="00BE7A91" w:rsidRDefault="00BE7A91">
            <w:r>
              <w:t>Limited to 20 hours per week while school is in session</w:t>
            </w:r>
            <w:r w:rsidR="00A159AB">
              <w:br/>
              <w:t>C</w:t>
            </w:r>
            <w:r>
              <w:t>an be full-time during official school breaks.</w:t>
            </w:r>
          </w:p>
        </w:tc>
      </w:tr>
      <w:tr w:rsidR="00A159AB" w14:paraId="4B3365FD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FD426" w14:textId="77777777" w:rsidR="00BE7A91" w:rsidRDefault="00BE7A91">
            <w:r>
              <w:rPr>
                <w:rStyle w:val="Strong"/>
              </w:rPr>
              <w:t>Field/level of work</w:t>
            </w:r>
          </w:p>
        </w:tc>
        <w:tc>
          <w:tcPr>
            <w:tcW w:w="0" w:type="auto"/>
            <w:vAlign w:val="center"/>
            <w:hideMark/>
          </w:tcPr>
          <w:p w14:paraId="6D5AB089" w14:textId="2AE19482" w:rsidR="00BE7A91" w:rsidRDefault="00BE7A91">
            <w:r>
              <w:t>Can be in any on-campus position that does not displace a U.S. worker</w:t>
            </w:r>
            <w:r w:rsidR="00A159AB">
              <w:br/>
              <w:t>D</w:t>
            </w:r>
            <w:r>
              <w:t>oes not have to be related to course of study.</w:t>
            </w:r>
          </w:p>
        </w:tc>
      </w:tr>
      <w:tr w:rsidR="00A159AB" w14:paraId="68DF54B0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C7C3F" w14:textId="77777777" w:rsidR="00BE7A91" w:rsidRDefault="00BE7A91">
            <w:r>
              <w:rPr>
                <w:rStyle w:val="Strong"/>
              </w:rPr>
              <w:t>Offer of employment</w:t>
            </w:r>
          </w:p>
        </w:tc>
        <w:tc>
          <w:tcPr>
            <w:tcW w:w="0" w:type="auto"/>
            <w:vAlign w:val="center"/>
            <w:hideMark/>
          </w:tcPr>
          <w:p w14:paraId="5E972E7D" w14:textId="77777777" w:rsidR="00BE7A91" w:rsidRDefault="00BE7A91">
            <w:r>
              <w:t>Not required as a condition of eligibility.</w:t>
            </w:r>
          </w:p>
        </w:tc>
      </w:tr>
      <w:tr w:rsidR="00A159AB" w14:paraId="7AA32D65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0D7A0" w14:textId="77777777" w:rsidR="00BE7A91" w:rsidRDefault="00BE7A91">
            <w:r>
              <w:rPr>
                <w:rStyle w:val="Strong"/>
              </w:rPr>
              <w:t>Effect on other work on campus</w:t>
            </w:r>
          </w:p>
        </w:tc>
        <w:tc>
          <w:tcPr>
            <w:tcW w:w="0" w:type="auto"/>
            <w:vAlign w:val="center"/>
            <w:hideMark/>
          </w:tcPr>
          <w:p w14:paraId="331D0059" w14:textId="18CBA458" w:rsidR="00BE7A91" w:rsidRDefault="00A159AB">
            <w:r>
              <w:t>If a student has more than 1 on-campus job, the total amount cannot exceed 20 hours per week.</w:t>
            </w:r>
          </w:p>
        </w:tc>
      </w:tr>
      <w:tr w:rsidR="00A159AB" w14:paraId="033ED4D5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17E71" w14:textId="77777777" w:rsidR="00BE7A91" w:rsidRDefault="00BE7A91">
            <w:r>
              <w:rPr>
                <w:rStyle w:val="Strong"/>
              </w:rPr>
              <w:t>Approval process</w:t>
            </w:r>
          </w:p>
        </w:tc>
        <w:tc>
          <w:tcPr>
            <w:tcW w:w="0" w:type="auto"/>
            <w:vAlign w:val="center"/>
            <w:hideMark/>
          </w:tcPr>
          <w:p w14:paraId="772C8D8A" w14:textId="5567A85C" w:rsidR="00BE7A91" w:rsidRDefault="00BE7A91">
            <w:r>
              <w:t>Employment is "incident to status," and does not require DSO or DHS approval.</w:t>
            </w:r>
            <w:r w:rsidR="00A159AB">
              <w:br/>
              <w:t xml:space="preserve">Student will need a Social Security Number (see </w:t>
            </w:r>
            <w:r w:rsidR="00A159AB" w:rsidRPr="00A159AB">
              <w:rPr>
                <w:i/>
                <w:iCs/>
              </w:rPr>
              <w:t>Process for Employment</w:t>
            </w:r>
            <w:r w:rsidR="00A159AB">
              <w:t>)</w:t>
            </w:r>
          </w:p>
        </w:tc>
      </w:tr>
      <w:tr w:rsidR="00A159AB" w14:paraId="1063A534" w14:textId="77777777" w:rsidTr="00BE7A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79FDC" w14:textId="77777777" w:rsidR="00BE7A91" w:rsidRDefault="00BE7A91">
            <w:r>
              <w:rPr>
                <w:rStyle w:val="Strong"/>
              </w:rPr>
              <w:t>Miscellaneous</w:t>
            </w:r>
          </w:p>
        </w:tc>
        <w:tc>
          <w:tcPr>
            <w:tcW w:w="0" w:type="auto"/>
            <w:vAlign w:val="center"/>
            <w:hideMark/>
          </w:tcPr>
          <w:p w14:paraId="343C8268" w14:textId="7AD96C0F" w:rsidR="00BE7A91" w:rsidRDefault="00BE7A91">
            <w:r>
              <w:t>Employment must not displace a U.S. resident</w:t>
            </w:r>
          </w:p>
        </w:tc>
      </w:tr>
    </w:tbl>
    <w:p w14:paraId="1A6EF136" w14:textId="3CF2E56D" w:rsidR="00BE7A91" w:rsidRPr="00A159AB" w:rsidRDefault="00A159AB" w:rsidP="00BE7A91">
      <w:pPr>
        <w:pStyle w:val="NormalWeb"/>
        <w:rPr>
          <w:b/>
          <w:bCs/>
          <w:sz w:val="28"/>
          <w:szCs w:val="28"/>
        </w:rPr>
      </w:pPr>
      <w:r w:rsidRPr="00A159AB">
        <w:rPr>
          <w:b/>
          <w:bCs/>
          <w:sz w:val="28"/>
          <w:szCs w:val="28"/>
        </w:rPr>
        <w:t>Process for Employment</w:t>
      </w:r>
    </w:p>
    <w:p w14:paraId="0F5392EF" w14:textId="396AFCDC" w:rsidR="00A159AB" w:rsidRDefault="00A159AB" w:rsidP="00A159AB">
      <w:pPr>
        <w:pStyle w:val="NormalWeb"/>
        <w:numPr>
          <w:ilvl w:val="0"/>
          <w:numId w:val="10"/>
        </w:numPr>
      </w:pPr>
      <w:r>
        <w:t>Secure an on-campus job.</w:t>
      </w:r>
    </w:p>
    <w:p w14:paraId="0424B1CB" w14:textId="77777777" w:rsidR="00A159AB" w:rsidRDefault="00A159AB" w:rsidP="00A159AB">
      <w:pPr>
        <w:pStyle w:val="NormalWeb"/>
        <w:numPr>
          <w:ilvl w:val="0"/>
          <w:numId w:val="10"/>
        </w:numPr>
      </w:pPr>
      <w:r>
        <w:t>Notify the international programs office and request an employment letter.</w:t>
      </w:r>
    </w:p>
    <w:p w14:paraId="6ED696E4" w14:textId="6220C623" w:rsidR="00A159AB" w:rsidRPr="00A159AB" w:rsidRDefault="00A159AB" w:rsidP="00A159AB">
      <w:pPr>
        <w:pStyle w:val="NormalWeb"/>
        <w:numPr>
          <w:ilvl w:val="0"/>
          <w:numId w:val="10"/>
        </w:numPr>
      </w:pPr>
      <w:r>
        <w:t xml:space="preserve">Apply for a Social Security Number at </w:t>
      </w:r>
      <w:hyperlink r:id="rId12" w:history="1">
        <w:r w:rsidRPr="00A159AB">
          <w:rPr>
            <w:rStyle w:val="Hyperlink"/>
          </w:rPr>
          <w:t>www.socialsecurity.gov</w:t>
        </w:r>
      </w:hyperlink>
    </w:p>
    <w:p w14:paraId="4B20D10F" w14:textId="094261DF" w:rsidR="00DC37D9" w:rsidRPr="00E83981" w:rsidRDefault="00DC37D9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37D9" w:rsidRPr="00E83981" w:rsidSect="004F1B0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064" w14:textId="77777777" w:rsidR="001D08C4" w:rsidRDefault="001D08C4" w:rsidP="001D08C4">
      <w:pPr>
        <w:spacing w:after="0" w:line="240" w:lineRule="auto"/>
      </w:pPr>
      <w:r>
        <w:separator/>
      </w:r>
    </w:p>
  </w:endnote>
  <w:endnote w:type="continuationSeparator" w:id="0">
    <w:p w14:paraId="6E51A5F3" w14:textId="77777777" w:rsidR="001D08C4" w:rsidRDefault="001D08C4" w:rsidP="001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8D17" w14:textId="1B6164DC" w:rsidR="00094744" w:rsidRPr="00094744" w:rsidRDefault="00094744" w:rsidP="0009474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FA1" w14:textId="77777777" w:rsidR="001D08C4" w:rsidRDefault="001D08C4" w:rsidP="001D08C4">
      <w:pPr>
        <w:spacing w:after="0" w:line="240" w:lineRule="auto"/>
      </w:pPr>
      <w:r>
        <w:separator/>
      </w:r>
    </w:p>
  </w:footnote>
  <w:footnote w:type="continuationSeparator" w:id="0">
    <w:p w14:paraId="141C53CF" w14:textId="77777777" w:rsidR="001D08C4" w:rsidRDefault="001D08C4" w:rsidP="001D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BD"/>
    <w:multiLevelType w:val="hybridMultilevel"/>
    <w:tmpl w:val="5CE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D39"/>
    <w:multiLevelType w:val="hybridMultilevel"/>
    <w:tmpl w:val="703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7DB"/>
    <w:multiLevelType w:val="hybridMultilevel"/>
    <w:tmpl w:val="A18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D20D9"/>
    <w:multiLevelType w:val="hybridMultilevel"/>
    <w:tmpl w:val="9A1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F22"/>
    <w:multiLevelType w:val="multilevel"/>
    <w:tmpl w:val="546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C4220"/>
    <w:multiLevelType w:val="multilevel"/>
    <w:tmpl w:val="2B6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C618E"/>
    <w:multiLevelType w:val="hybridMultilevel"/>
    <w:tmpl w:val="A37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7DC2"/>
    <w:multiLevelType w:val="hybridMultilevel"/>
    <w:tmpl w:val="9E5EF7A8"/>
    <w:lvl w:ilvl="0" w:tplc="A1C0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8CE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4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A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C4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ED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AB460F"/>
    <w:multiLevelType w:val="hybridMultilevel"/>
    <w:tmpl w:val="F162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252E7"/>
    <w:multiLevelType w:val="multilevel"/>
    <w:tmpl w:val="7B9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7"/>
    <w:rsid w:val="00012152"/>
    <w:rsid w:val="00093859"/>
    <w:rsid w:val="00094744"/>
    <w:rsid w:val="000C1A21"/>
    <w:rsid w:val="0010345B"/>
    <w:rsid w:val="00125FF0"/>
    <w:rsid w:val="00193A69"/>
    <w:rsid w:val="001B3AA4"/>
    <w:rsid w:val="001D08C4"/>
    <w:rsid w:val="002400CE"/>
    <w:rsid w:val="00286E11"/>
    <w:rsid w:val="002A6B93"/>
    <w:rsid w:val="002B2DDA"/>
    <w:rsid w:val="00331F0A"/>
    <w:rsid w:val="00333D6D"/>
    <w:rsid w:val="00353DBA"/>
    <w:rsid w:val="003B659F"/>
    <w:rsid w:val="00426200"/>
    <w:rsid w:val="004435D3"/>
    <w:rsid w:val="004A6DC0"/>
    <w:rsid w:val="004F1B0F"/>
    <w:rsid w:val="00540C1A"/>
    <w:rsid w:val="00564BCB"/>
    <w:rsid w:val="00581AEE"/>
    <w:rsid w:val="005B5E8B"/>
    <w:rsid w:val="005B6139"/>
    <w:rsid w:val="005D5C2E"/>
    <w:rsid w:val="0062654F"/>
    <w:rsid w:val="0064747E"/>
    <w:rsid w:val="00674301"/>
    <w:rsid w:val="006A0495"/>
    <w:rsid w:val="006D0E3B"/>
    <w:rsid w:val="007037D0"/>
    <w:rsid w:val="007449FB"/>
    <w:rsid w:val="0079572F"/>
    <w:rsid w:val="007A01C3"/>
    <w:rsid w:val="007C6C51"/>
    <w:rsid w:val="007E5658"/>
    <w:rsid w:val="007F1B73"/>
    <w:rsid w:val="00830EB8"/>
    <w:rsid w:val="00847DBC"/>
    <w:rsid w:val="0091505D"/>
    <w:rsid w:val="009950E3"/>
    <w:rsid w:val="009A7018"/>
    <w:rsid w:val="00A159AB"/>
    <w:rsid w:val="00A20420"/>
    <w:rsid w:val="00A359B1"/>
    <w:rsid w:val="00A97361"/>
    <w:rsid w:val="00AD37B7"/>
    <w:rsid w:val="00B05E37"/>
    <w:rsid w:val="00B5785F"/>
    <w:rsid w:val="00B666F6"/>
    <w:rsid w:val="00BC0769"/>
    <w:rsid w:val="00BC7E15"/>
    <w:rsid w:val="00BE7A91"/>
    <w:rsid w:val="00BF10B5"/>
    <w:rsid w:val="00BF2535"/>
    <w:rsid w:val="00C24ABC"/>
    <w:rsid w:val="00CA7B6F"/>
    <w:rsid w:val="00CB7B01"/>
    <w:rsid w:val="00D555E7"/>
    <w:rsid w:val="00DC37D9"/>
    <w:rsid w:val="00E22C7B"/>
    <w:rsid w:val="00E6585C"/>
    <w:rsid w:val="00E7079D"/>
    <w:rsid w:val="00E83981"/>
    <w:rsid w:val="00EC1FC9"/>
    <w:rsid w:val="00ED6A6A"/>
    <w:rsid w:val="00EE021A"/>
    <w:rsid w:val="00F83D80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6B14E"/>
  <w15:chartTrackingRefBased/>
  <w15:docId w15:val="{73FA2276-668E-448D-9563-72C198E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4"/>
  </w:style>
  <w:style w:type="paragraph" w:styleId="Footer">
    <w:name w:val="footer"/>
    <w:basedOn w:val="Normal"/>
    <w:link w:val="Foot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4"/>
  </w:style>
  <w:style w:type="paragraph" w:styleId="NormalWeb">
    <w:name w:val="Normal (Web)"/>
    <w:basedOn w:val="Normal"/>
    <w:uiPriority w:val="99"/>
    <w:unhideWhenUsed/>
    <w:rsid w:val="00E8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Int-Admissions@Klamathcc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cialsecurity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mathcc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K-Int-Admissions@Klamath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mathcc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Griffiths</dc:creator>
  <cp:keywords/>
  <dc:description/>
  <cp:lastModifiedBy>Fred Griffiths</cp:lastModifiedBy>
  <cp:revision>4</cp:revision>
  <cp:lastPrinted>2024-03-26T17:22:00Z</cp:lastPrinted>
  <dcterms:created xsi:type="dcterms:W3CDTF">2024-03-26T21:20:00Z</dcterms:created>
  <dcterms:modified xsi:type="dcterms:W3CDTF">2024-03-26T21:34:00Z</dcterms:modified>
</cp:coreProperties>
</file>